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488D">
        <w:rPr>
          <w:rFonts w:ascii="Times New Roman" w:hAnsi="Times New Roman" w:cs="Times New Roman"/>
          <w:b/>
          <w:bCs/>
          <w:sz w:val="20"/>
          <w:szCs w:val="20"/>
        </w:rPr>
        <w:t xml:space="preserve">OBJAŚNIENIA DO ZAŁĄCZNIKA NR 1  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488D">
        <w:rPr>
          <w:rFonts w:ascii="Times New Roman" w:hAnsi="Times New Roman" w:cs="Times New Roman"/>
          <w:b/>
          <w:bCs/>
          <w:sz w:val="20"/>
          <w:szCs w:val="20"/>
        </w:rPr>
        <w:t xml:space="preserve">WIELOLETNIEJ PROGNOZY FINANSOWEJ 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4488D">
        <w:rPr>
          <w:rFonts w:ascii="Times New Roman" w:hAnsi="Times New Roman" w:cs="Times New Roman"/>
          <w:b/>
          <w:bCs/>
          <w:sz w:val="20"/>
          <w:szCs w:val="20"/>
        </w:rPr>
        <w:t>NA LATA 2021-2035  GMINY BOBOLICE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8D">
        <w:rPr>
          <w:rFonts w:ascii="Times New Roman" w:hAnsi="Times New Roman" w:cs="Times New Roman"/>
          <w:color w:val="000000"/>
          <w:sz w:val="28"/>
          <w:szCs w:val="28"/>
        </w:rPr>
        <w:t>ZMIANY WPROWADZONE UCHWAŁĄ NR XXX/265/21 z dnia 30.06.2021r.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488D">
        <w:rPr>
          <w:rFonts w:ascii="Times New Roman" w:hAnsi="Times New Roman" w:cs="Times New Roman"/>
          <w:color w:val="000000"/>
          <w:sz w:val="28"/>
          <w:szCs w:val="28"/>
        </w:rPr>
        <w:t>w szczególności: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WPF 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1) dostosowanie dochodów i wydatków do zmian uchwały budżetowej na 2021 rok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2) dostosowanie limitu wydatków do zmian w załączniku Przedsięwzięć na lata 2021-2035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Poz. 9.4 jest niezgodna z pozycją 1.1 Wykazu Przedsięwzięć o kwo</w:t>
      </w:r>
      <w:r w:rsidR="007925CC">
        <w:rPr>
          <w:rFonts w:ascii="Times New Roman" w:hAnsi="Times New Roman" w:cs="Times New Roman"/>
          <w:color w:val="000000"/>
          <w:sz w:val="24"/>
          <w:szCs w:val="24"/>
        </w:rPr>
        <w:t>tę 7 584 zł.  z tytułu wkładu wł</w:t>
      </w:r>
      <w:r w:rsidRPr="0044488D">
        <w:rPr>
          <w:rFonts w:ascii="Times New Roman" w:hAnsi="Times New Roman" w:cs="Times New Roman"/>
          <w:color w:val="000000"/>
          <w:sz w:val="24"/>
          <w:szCs w:val="24"/>
        </w:rPr>
        <w:t>asnego niekwalifikowanego do projektów:</w:t>
      </w:r>
    </w:p>
    <w:p w:rsidR="0044488D" w:rsidRPr="0044488D" w:rsidRDefault="007925CC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Wymiana źródeł</w:t>
      </w:r>
      <w:r w:rsidR="0044488D"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 ogrzewania na kwotę 2100 zł.</w:t>
      </w:r>
    </w:p>
    <w:p w:rsidR="0044488D" w:rsidRPr="0044488D" w:rsidRDefault="007925CC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Termomodernizacja budynkó</w:t>
      </w:r>
      <w:r w:rsidR="0044488D" w:rsidRPr="0044488D">
        <w:rPr>
          <w:rFonts w:ascii="Times New Roman" w:hAnsi="Times New Roman" w:cs="Times New Roman"/>
          <w:color w:val="000000"/>
          <w:sz w:val="24"/>
          <w:szCs w:val="24"/>
        </w:rPr>
        <w:t>w jednorodzinnych na kwotę 5 484 zł.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z udziałem środków UE  ( ujętych w budżecie ze źródłem finansowania czwartą cyfrą paragrafu "0", natomiast w WPF - w Przedsięwzięciach </w:t>
      </w:r>
      <w:proofErr w:type="spellStart"/>
      <w:r w:rsidRPr="0044488D">
        <w:rPr>
          <w:rFonts w:ascii="Times New Roman" w:hAnsi="Times New Roman" w:cs="Times New Roman"/>
          <w:color w:val="000000"/>
          <w:sz w:val="24"/>
          <w:szCs w:val="24"/>
        </w:rPr>
        <w:t>całośc</w:t>
      </w:r>
      <w:proofErr w:type="spellEnd"/>
      <w:r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 zadania  ujęta jest jako zadanie z udziałem środków UE , tj. łącznie z wydatkami kwalifikowanymi i niekwalifikowanymi niniejszych projektów.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PRZEDSIĘWZIĘCIA: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1) zwiększenie łącznych nakładów finansowych wg zmian uchwały budżetowej na 2021 rok na zadaniach: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444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Wymiana źródeł ogrzewania - </w:t>
      </w:r>
      <w:r w:rsidRPr="0044488D">
        <w:rPr>
          <w:rFonts w:ascii="Times New Roman" w:hAnsi="Times New Roman" w:cs="Times New Roman"/>
          <w:color w:val="000000"/>
          <w:sz w:val="24"/>
          <w:szCs w:val="24"/>
        </w:rPr>
        <w:t>zwiększenie limitu wydatków na 2021 roku o 26 250 zł. z przesunięcia nierozliczonych środków przez mieszkańców,  po zmianach na wartość 153 150 zł., łą</w:t>
      </w:r>
      <w:r w:rsidR="00EF015A">
        <w:rPr>
          <w:rFonts w:ascii="Times New Roman" w:hAnsi="Times New Roman" w:cs="Times New Roman"/>
          <w:color w:val="000000"/>
          <w:sz w:val="24"/>
          <w:szCs w:val="24"/>
        </w:rPr>
        <w:t>czne nakłady finansowe w wysokoś</w:t>
      </w:r>
      <w:r w:rsidRPr="0044488D">
        <w:rPr>
          <w:rFonts w:ascii="Times New Roman" w:hAnsi="Times New Roman" w:cs="Times New Roman"/>
          <w:color w:val="000000"/>
          <w:sz w:val="24"/>
          <w:szCs w:val="24"/>
        </w:rPr>
        <w:t>ci 470 100 zł. z realizacją na lata 2020-2022;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444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Termomodernizacja budynków jednorodzinnych  w Gminie Bobolice - </w:t>
      </w:r>
      <w:r w:rsidRPr="0044488D">
        <w:rPr>
          <w:rFonts w:ascii="Times New Roman" w:hAnsi="Times New Roman" w:cs="Times New Roman"/>
          <w:color w:val="000000"/>
          <w:sz w:val="24"/>
          <w:szCs w:val="24"/>
        </w:rPr>
        <w:t>zwiększenie limitu wydatków na 2021 rok o 162 500 zł. wynikające z nierozliczo</w:t>
      </w:r>
      <w:r w:rsidR="00EF015A">
        <w:rPr>
          <w:rFonts w:ascii="Times New Roman" w:hAnsi="Times New Roman" w:cs="Times New Roman"/>
          <w:color w:val="000000"/>
          <w:sz w:val="24"/>
          <w:szCs w:val="24"/>
        </w:rPr>
        <w:t>ny</w:t>
      </w:r>
      <w:r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ch środków przez mieszkańców; po zmianach na wartość 688 984 zł.; łączne nakłady finansowe w wysokości 1 565 484 zł. z realizacja na lata 2020-2022   </w:t>
      </w:r>
      <w:r w:rsidRPr="00444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2) dostosowanie limitu zobowiązań względem podpisanych umów.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PRZYCHODY: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W 2021 roku uj</w:t>
      </w:r>
      <w:r w:rsidR="00EF015A">
        <w:rPr>
          <w:rFonts w:ascii="Times New Roman" w:hAnsi="Times New Roman" w:cs="Times New Roman"/>
          <w:color w:val="000000"/>
          <w:sz w:val="24"/>
          <w:szCs w:val="24"/>
        </w:rPr>
        <w:t>ęte są przychody z tytułu nadwyż</w:t>
      </w:r>
      <w:r w:rsidRPr="0044488D">
        <w:rPr>
          <w:rFonts w:ascii="Times New Roman" w:hAnsi="Times New Roman" w:cs="Times New Roman"/>
          <w:color w:val="000000"/>
          <w:sz w:val="24"/>
          <w:szCs w:val="24"/>
        </w:rPr>
        <w:t>ki budżetowej wynikającej z rozliczeń środków UE projektów w wysokości łącznej 428 608,45 zł.</w:t>
      </w:r>
    </w:p>
    <w:p w:rsidR="0044488D" w:rsidRPr="0044488D" w:rsidRDefault="00EF015A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2021 roku ujęte są</w:t>
      </w:r>
      <w:r w:rsidR="0044488D"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 również przychody z tytułu niewykorzystanych środków pieniężnych na rachunkach bieżących  wynikających z rozliczeń dochodów i wydatków n</w:t>
      </w:r>
      <w:r>
        <w:rPr>
          <w:rFonts w:ascii="Times New Roman" w:hAnsi="Times New Roman" w:cs="Times New Roman"/>
          <w:color w:val="000000"/>
          <w:sz w:val="24"/>
          <w:szCs w:val="24"/>
        </w:rPr>
        <w:t>imi finansowanych z przeciwdział</w:t>
      </w:r>
      <w:r w:rsidR="0044488D" w:rsidRPr="0044488D">
        <w:rPr>
          <w:rFonts w:ascii="Times New Roman" w:hAnsi="Times New Roman" w:cs="Times New Roman"/>
          <w:color w:val="000000"/>
          <w:sz w:val="24"/>
          <w:szCs w:val="24"/>
        </w:rPr>
        <w:t>ania alkoholizmowi w wysokości 6 337,77 zł.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Ponadto: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W 2021 roku zaplanowano i uzyskano przychody w wysokości 720 000 zł. z tytułu zaciągnięcia kredytu na pokrycie finansowania planowanego deficytu na podstawie art. 89 ust. 1 pkt.4)  ustawy o</w:t>
      </w:r>
      <w:r w:rsidRPr="004448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488D">
        <w:rPr>
          <w:rFonts w:ascii="Times New Roman" w:hAnsi="Times New Roman" w:cs="Times New Roman"/>
          <w:color w:val="000000"/>
          <w:sz w:val="24"/>
          <w:szCs w:val="24"/>
        </w:rPr>
        <w:t>finansach publicznych, związanego z udzieleniem dotacji celowej o charakterze inwestycyjnych dla Powiatu Koszalińskiego.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Spłatę kredytu  zaplanowano na 4 lata, w latach 2023-2026 po 180 000 zł.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968"/>
        <w:gridCol w:w="6262"/>
        <w:gridCol w:w="2268"/>
      </w:tblGrid>
      <w:tr w:rsidR="0044488D" w:rsidRPr="0044488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44488D" w:rsidRPr="0044488D" w:rsidRDefault="0044488D" w:rsidP="004448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Rok 2021</w:t>
            </w:r>
          </w:p>
        </w:tc>
      </w:tr>
      <w:tr w:rsidR="0044488D" w:rsidRPr="0044488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Dotacja celowa dla Powiatu Koszalińskiego na II etap przebudowy i remontu drogi powiatowej Nr 3501Z </w:t>
            </w:r>
            <w:proofErr w:type="spellStart"/>
            <w:r w:rsidRPr="0044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Świelino-Dargiń-Grzybnica</w:t>
            </w:r>
            <w:proofErr w:type="spellEnd"/>
            <w:r w:rsidRPr="0044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720 000</w:t>
            </w:r>
          </w:p>
        </w:tc>
      </w:tr>
    </w:tbl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W roku 2021 i 2022 zaplanowano przychody z tytułu niewykorzystanych w 2020 roku środków pieniężnych na rachunku bankowym z Rządowego Funduszu Inwestycji Lokalnych w wysokości po wprowadzonych zmianach: 2021 = 458 885 zł. oraz w 2022 = 322 951 zł., wynikającymi z rozliczenia dochodów i wydatków nimi finansowanych związanych ze </w:t>
      </w:r>
      <w:proofErr w:type="spellStart"/>
      <w:r w:rsidRPr="0044488D">
        <w:rPr>
          <w:rFonts w:ascii="Times New Roman" w:hAnsi="Times New Roman" w:cs="Times New Roman"/>
          <w:color w:val="000000"/>
          <w:sz w:val="24"/>
          <w:szCs w:val="24"/>
        </w:rPr>
        <w:t>szcególnymi</w:t>
      </w:r>
      <w:proofErr w:type="spellEnd"/>
      <w:r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 zasadami wykonywania budżetu określonymi odrębnymi ustawami.</w:t>
      </w: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Rozchody</w:t>
      </w: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W pozycji rozchodów ujęto zobowiązania już zaciągnięte, związane z emisją obligacji oraz kredytem, przedstawione szczegółowo p</w:t>
      </w:r>
      <w:r w:rsidR="00EF015A">
        <w:rPr>
          <w:rFonts w:ascii="Times New Roman" w:hAnsi="Times New Roman" w:cs="Times New Roman"/>
          <w:color w:val="000000"/>
          <w:sz w:val="24"/>
          <w:szCs w:val="24"/>
        </w:rPr>
        <w:t>oniżej w tym zaciągnięte zobowią</w:t>
      </w:r>
      <w:r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zanie w formie kredytu w 2021 roku. </w:t>
      </w: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 xml:space="preserve">Zaciągnięto kredyt w 2021 roku na pokrycie deficytu związanego z udzieleniem dotacji dla Powiatu Koszalińskiego. Harmonogram spłat: 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44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w </w:t>
      </w:r>
      <w:proofErr w:type="spellStart"/>
      <w:r w:rsidRPr="00444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tys</w:t>
      </w:r>
      <w:proofErr w:type="spellEnd"/>
      <w:r w:rsidRPr="00444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zł.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33"/>
        <w:gridCol w:w="4635"/>
        <w:gridCol w:w="645"/>
        <w:gridCol w:w="780"/>
        <w:gridCol w:w="735"/>
        <w:gridCol w:w="780"/>
        <w:gridCol w:w="750"/>
        <w:gridCol w:w="750"/>
      </w:tblGrid>
      <w:tr w:rsidR="0044488D" w:rsidRPr="0044488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44488D" w:rsidRPr="0044488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Dotacja celowa dla Powiatu Koszalińskiego na I etap przebudowy i remontu drogi powiatowej Nr 3501Z </w:t>
            </w:r>
            <w:proofErr w:type="spellStart"/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Świelino-Dargiń-Grzybnica</w:t>
            </w:r>
            <w:proofErr w:type="spellEnd"/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</w:tbl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88D">
        <w:rPr>
          <w:rFonts w:ascii="Times New Roman" w:hAnsi="Times New Roman" w:cs="Times New Roman"/>
          <w:color w:val="000000"/>
          <w:sz w:val="24"/>
          <w:szCs w:val="24"/>
        </w:rPr>
        <w:t>W pozycji rozchodów zaplanowano wykup emisji obligacji komunalnych i zaciągniętych kredytów na pokrycie deficytu na udzielenie dotacji celowej dla Powiatu  w wysokościach określonych w załączniku nr 1 niniejszej uchwały (poz.5-5.1.1).  Spłatę zaciągniętych zobowiązań zaplanowano wg harmonogramu spłaty,  przedstawionego w poniższej tabeli z uwzględnieniem proponowanych zmian dokonania wcześniejszego terminu wykupu i spłaty zobowiązań obligacji z 2021 roku na kwotę łącznie 650 000 zł.   oraz jednocześnie przesunięcia obligacji z 2019 roku terminu spłaty obligacji  na 2025 rok w wyniku zwiększenia wcześniejszej spłaty poprzednich obligacji w bieżącym roku,  planowanej w2021 roku w wysokości 250 000 zł. Po dokonanych zmianach łącznie w 2021 roku zwiększa sie plan wykupu obligacji na kwotę          900 000 zł.</w:t>
      </w: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488D">
        <w:rPr>
          <w:rFonts w:ascii="Times New Roman" w:hAnsi="Times New Roman" w:cs="Times New Roman"/>
          <w:color w:val="000000"/>
          <w:sz w:val="20"/>
          <w:szCs w:val="20"/>
        </w:rPr>
        <w:t>Harmonogram spłaty zaciągniętych zobowiązań (</w:t>
      </w:r>
      <w:r w:rsidRPr="00444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w </w:t>
      </w:r>
      <w:proofErr w:type="spellStart"/>
      <w:r w:rsidRPr="00444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>tys</w:t>
      </w:r>
      <w:proofErr w:type="spellEnd"/>
      <w:r w:rsidRPr="0044488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zł</w:t>
      </w:r>
      <w:r w:rsidRPr="0044488D">
        <w:rPr>
          <w:rFonts w:ascii="Times New Roman" w:hAnsi="Times New Roman" w:cs="Times New Roman"/>
          <w:color w:val="000000"/>
          <w:sz w:val="20"/>
          <w:szCs w:val="20"/>
        </w:rPr>
        <w:t xml:space="preserve">.) </w:t>
      </w: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33"/>
        <w:gridCol w:w="2595"/>
        <w:gridCol w:w="675"/>
        <w:gridCol w:w="1170"/>
        <w:gridCol w:w="1170"/>
        <w:gridCol w:w="600"/>
        <w:gridCol w:w="660"/>
        <w:gridCol w:w="705"/>
        <w:gridCol w:w="765"/>
        <w:gridCol w:w="720"/>
      </w:tblGrid>
      <w:tr w:rsidR="0044488D" w:rsidRPr="0044488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488D" w:rsidRPr="0044488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OBLIGACJE NA                      15 400 zł. restrukturyzacja zadłużenia 2013 rok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wcześniejsza spłata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wcześniejsza spłata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</w:tr>
      <w:tr w:rsidR="0044488D" w:rsidRPr="0044488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OBLIGACJE NA WKŁAD WŁASNY DO PROJEKTÓW Z UDZIAŁEM ŚRODKÓW UE   NA 3 300 zł.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488D" w:rsidRPr="0044488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KREDYT NA 1 000 zł na pokrycie deficytu - dotację celową dla Powiatu na I etap przebudowy i remontu drogi powiatowej Świelino-Dargiń Grzybnica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KREDYT NA 720 zł na pokrycie deficytu - dotacje celową dla Powiatu na II etap przebudowy i remontu drogi powiatowej Świelino-Dargiń Grzybnica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44488D" w:rsidRPr="0044488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900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</w:t>
            </w:r>
          </w:p>
        </w:tc>
      </w:tr>
    </w:tbl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4488D">
        <w:rPr>
          <w:rFonts w:ascii="Times New Roman" w:hAnsi="Times New Roman" w:cs="Times New Roman"/>
          <w:color w:val="000000"/>
          <w:sz w:val="20"/>
          <w:szCs w:val="20"/>
        </w:rPr>
        <w:t>cd</w:t>
      </w:r>
      <w:proofErr w:type="spellEnd"/>
      <w:r w:rsidRPr="0044488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78"/>
        <w:gridCol w:w="1965"/>
        <w:gridCol w:w="615"/>
        <w:gridCol w:w="705"/>
        <w:gridCol w:w="840"/>
        <w:gridCol w:w="870"/>
        <w:gridCol w:w="750"/>
        <w:gridCol w:w="720"/>
        <w:gridCol w:w="675"/>
        <w:gridCol w:w="720"/>
        <w:gridCol w:w="686"/>
      </w:tblGrid>
      <w:tr w:rsidR="0044488D" w:rsidRPr="0044488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2035</w:t>
            </w:r>
          </w:p>
        </w:tc>
      </w:tr>
      <w:tr w:rsidR="0044488D" w:rsidRPr="0044488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OBLIGACJE NA          15 400 zł. restrukturyzacja zadłużenia 2013 rok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</w:tr>
      <w:tr w:rsidR="0044488D" w:rsidRPr="0044488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OBLIGACJE NA WKŁAD WŁASNY DO PROJEKTÓW Z UDZIAŁEM ŚRODKÓW UE NA 3 800 zł.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488D" w:rsidRPr="0044488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KREDYT NA 1 000 zł na pokrycie deficytu - dotację celową dla Powiatu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4488D" w:rsidRPr="0044488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1 340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8D" w:rsidRPr="0044488D" w:rsidRDefault="0044488D" w:rsidP="0044488D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48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1 340</w:t>
            </w:r>
          </w:p>
        </w:tc>
      </w:tr>
    </w:tbl>
    <w:p w:rsidR="0044488D" w:rsidRPr="0044488D" w:rsidRDefault="0044488D" w:rsidP="0044488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88D">
        <w:rPr>
          <w:rFonts w:ascii="Times New Roman" w:hAnsi="Times New Roman" w:cs="Times New Roman"/>
          <w:b/>
          <w:bCs/>
          <w:sz w:val="28"/>
          <w:szCs w:val="28"/>
        </w:rPr>
        <w:t>Wynik budżetu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8D">
        <w:rPr>
          <w:rFonts w:ascii="Times New Roman" w:hAnsi="Times New Roman" w:cs="Times New Roman"/>
          <w:sz w:val="24"/>
          <w:szCs w:val="24"/>
        </w:rPr>
        <w:t xml:space="preserve">Pozycja Wynik budżetu jest różnicą pomiędzy pozycjami I „Dochody” a pozycją II „Wydatki”. 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88D">
        <w:rPr>
          <w:rFonts w:ascii="Times New Roman" w:hAnsi="Times New Roman" w:cs="Times New Roman"/>
          <w:sz w:val="24"/>
          <w:szCs w:val="24"/>
        </w:rPr>
        <w:t>W latach 2023-2035  planuje się nadwyżki budżetowe w wysokości równej spłacie prognozowanych rat, wg zasady równoważenia budżetu. W 2021 roku zaplanowano deficyt budżetowy w wysokości - 1 481 946,22 zł. po wprowadzonych zmianach, który zostanie pokryty nadwyżką budżetową wynikającą z rozliczeń z roku ubiegłego środków UE, które pozostały na kontach bankowych projektów w wysokości 303 061,22 zł. zaangażowanych na pokrycie deficytu oraz   1 178 885 zł. z działalności inwestycyjnej,  którego finansowanie przedstawia się poniżej.</w:t>
      </w:r>
    </w:p>
    <w:p w:rsid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88D">
        <w:rPr>
          <w:rFonts w:ascii="Times New Roman" w:hAnsi="Times New Roman" w:cs="Times New Roman"/>
          <w:b/>
          <w:bCs/>
          <w:sz w:val="28"/>
          <w:szCs w:val="28"/>
        </w:rPr>
        <w:t>Finansowanie deficytu i przeznaczanie nadwyżki.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8D">
        <w:rPr>
          <w:rFonts w:ascii="Times New Roman" w:hAnsi="Times New Roman" w:cs="Times New Roman"/>
          <w:sz w:val="24"/>
          <w:szCs w:val="24"/>
        </w:rPr>
        <w:t>W związku z przepisem art. 89 ust. 1 ustawy o finansach publicznych przewiduje się, że w przypadku planowania w danym roku zaciągnięcia zobowiązań kredytowych, powinny mieć one pokrycie w nadwyżce budżetowej danego roku, nadwyżce budżetowej z lat poprzednich lub wolnych środkach, za wyjątkiem pożyczek na wyprzedzające finansowanie zadań finansowanych ze środków UE. Pozostała część nadwyżki budżetowej lub z przychodów przeznacza się na spłatę wcześniej zaciągniętego długu.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8D">
        <w:rPr>
          <w:rFonts w:ascii="Times New Roman" w:hAnsi="Times New Roman" w:cs="Times New Roman"/>
          <w:sz w:val="24"/>
          <w:szCs w:val="24"/>
        </w:rPr>
        <w:t>W 2021 roku zaplanowano deficyt budżetowy po zmianach w kwocie - 1 481 946,22 zł., wynikający wyłącznie z wydatków inwestycyjnych w wysokości 1 178 885 000 zł. oraz rozliczeń środków UE za 2020 rok pozostałych na kontach bankowych projektów w wysokości oraz niewykorzystanych śr</w:t>
      </w:r>
      <w:r w:rsidR="00EF015A">
        <w:rPr>
          <w:rFonts w:ascii="Times New Roman" w:hAnsi="Times New Roman" w:cs="Times New Roman"/>
          <w:sz w:val="24"/>
          <w:szCs w:val="24"/>
        </w:rPr>
        <w:t>odków w 2020 roku z przeciwdział</w:t>
      </w:r>
      <w:r w:rsidRPr="0044488D">
        <w:rPr>
          <w:rFonts w:ascii="Times New Roman" w:hAnsi="Times New Roman" w:cs="Times New Roman"/>
          <w:sz w:val="24"/>
          <w:szCs w:val="24"/>
        </w:rPr>
        <w:t>ania alkoholizmowi zaangażowanych na pokrycie deficytu w wysokości łącznie 303 061,22 zł.  Planowany deficyt zostanie pokryty/sfinansowany przychodami pochodzącymi z zaciągniętego kredytu  w wysokości 720 000 zł. oraz niewykorzystanych środków pieniężnych na rachunku bieżącym budżetu, wynikającymi z rozliczenia dochodów i wydatków nimi finansowanych związanych ze szczególnymi zasadami wykonywania budżetu określonym</w:t>
      </w:r>
      <w:r w:rsidR="00EF015A">
        <w:rPr>
          <w:rFonts w:ascii="Times New Roman" w:hAnsi="Times New Roman" w:cs="Times New Roman"/>
          <w:sz w:val="24"/>
          <w:szCs w:val="24"/>
        </w:rPr>
        <w:t>i w odrębnych ustawach w wysokoś</w:t>
      </w:r>
      <w:r w:rsidRPr="0044488D">
        <w:rPr>
          <w:rFonts w:ascii="Times New Roman" w:hAnsi="Times New Roman" w:cs="Times New Roman"/>
          <w:sz w:val="24"/>
          <w:szCs w:val="24"/>
        </w:rPr>
        <w:t>ci 761 946,22 zł. , tj. z Rządowego Funduszu Inwestycji Lokalnych, przekazanych w 2020 roku w wysokości w 2021 = 458 885 zł.  oraz 6 3</w:t>
      </w:r>
      <w:r w:rsidR="00EF015A">
        <w:rPr>
          <w:rFonts w:ascii="Times New Roman" w:hAnsi="Times New Roman" w:cs="Times New Roman"/>
          <w:sz w:val="24"/>
          <w:szCs w:val="24"/>
        </w:rPr>
        <w:t>37,77 zł. z przeciwdziałania al</w:t>
      </w:r>
      <w:r w:rsidRPr="0044488D">
        <w:rPr>
          <w:rFonts w:ascii="Times New Roman" w:hAnsi="Times New Roman" w:cs="Times New Roman"/>
          <w:sz w:val="24"/>
          <w:szCs w:val="24"/>
        </w:rPr>
        <w:t>koholizmowi i nie</w:t>
      </w:r>
      <w:r w:rsidR="00EF015A">
        <w:rPr>
          <w:rFonts w:ascii="Times New Roman" w:hAnsi="Times New Roman" w:cs="Times New Roman"/>
          <w:sz w:val="24"/>
          <w:szCs w:val="24"/>
        </w:rPr>
        <w:t>wykorzystanych środków  UE zaan</w:t>
      </w:r>
      <w:r w:rsidRPr="0044488D">
        <w:rPr>
          <w:rFonts w:ascii="Times New Roman" w:hAnsi="Times New Roman" w:cs="Times New Roman"/>
          <w:sz w:val="24"/>
          <w:szCs w:val="24"/>
        </w:rPr>
        <w:t xml:space="preserve">gażowanych w pokrycie deficytu w wysokości 296 723,45 zł. 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4488D">
        <w:rPr>
          <w:rFonts w:ascii="Times New Roman" w:hAnsi="Times New Roman" w:cs="Times New Roman"/>
          <w:b/>
          <w:bCs/>
          <w:sz w:val="28"/>
          <w:szCs w:val="28"/>
        </w:rPr>
        <w:t>Kwota długu, sposób jego sfinansowania i relacja o której mowa w art. 243 ustawy o finansach p</w:t>
      </w:r>
      <w:r w:rsidRPr="0044488D">
        <w:rPr>
          <w:rFonts w:ascii="Times New Roman" w:hAnsi="Times New Roman" w:cs="Times New Roman"/>
          <w:b/>
          <w:bCs/>
          <w:sz w:val="20"/>
          <w:szCs w:val="20"/>
        </w:rPr>
        <w:t xml:space="preserve">ublicznych. </w:t>
      </w:r>
    </w:p>
    <w:p w:rsidR="0044488D" w:rsidRPr="0044488D" w:rsidRDefault="0044488D" w:rsidP="00444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8D">
        <w:rPr>
          <w:rFonts w:ascii="Times New Roman" w:hAnsi="Times New Roman" w:cs="Times New Roman"/>
          <w:sz w:val="24"/>
          <w:szCs w:val="24"/>
        </w:rPr>
        <w:t>W latach prognozy, wg obowiązujących od 2014 roku wskaźników zadłużenia wynikających z art. 243 ustawy o finansach publicznych - gmina spełnia dopuszczalne wskaźniki zadłużenia          ( poz. 8.1-8.4.1).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8D">
        <w:rPr>
          <w:rFonts w:ascii="Times New Roman" w:hAnsi="Times New Roman" w:cs="Times New Roman"/>
          <w:sz w:val="24"/>
          <w:szCs w:val="24"/>
        </w:rPr>
        <w:t xml:space="preserve">Kwota wykazana jako dług na koniec każdego roku jest wynikiem działania: dług z poprzedniego roku + zaciągany dług – spłata długu. 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8D">
        <w:rPr>
          <w:rFonts w:ascii="Times New Roman" w:hAnsi="Times New Roman" w:cs="Times New Roman"/>
          <w:sz w:val="24"/>
          <w:szCs w:val="24"/>
        </w:rPr>
        <w:t xml:space="preserve">Sposób finansowania długu – przyjmuje się, że dług (jego splata) jest finansowana w pierwszej kolejności z nadwyżki budżetowej, wolnych środków, spłacanych pożyczek oraz nadwyżki z lat poprzednich z tym, że w przypadku planowania pożyczek do udzielenia wielkości te przeznacza się na finansowanie długu w wartości pomniejszonej o wielkość przewidywanych do udzielenia pożyczek. W następnej kolejności dług finansuje się nowo zaciąganym długiem.  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8D">
        <w:rPr>
          <w:rFonts w:ascii="Times New Roman" w:hAnsi="Times New Roman" w:cs="Times New Roman"/>
          <w:sz w:val="24"/>
          <w:szCs w:val="24"/>
        </w:rPr>
        <w:t xml:space="preserve">Relacja o której mowa w art. 243 ustawy o finansach publicznych wyliczona została w pozycjach od 8.3 do 8.4.1 załącznika nr 1. 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488D">
        <w:rPr>
          <w:rFonts w:ascii="Times New Roman" w:hAnsi="Times New Roman" w:cs="Times New Roman"/>
          <w:b/>
          <w:bCs/>
          <w:sz w:val="24"/>
          <w:szCs w:val="24"/>
        </w:rPr>
        <w:t>PORĘCZENIA I GWARANCJE:</w:t>
      </w:r>
    </w:p>
    <w:p w:rsidR="0044488D" w:rsidRPr="0044488D" w:rsidRDefault="0044488D" w:rsidP="00444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88D">
        <w:rPr>
          <w:rFonts w:ascii="Times New Roman" w:hAnsi="Times New Roman" w:cs="Times New Roman"/>
          <w:sz w:val="24"/>
          <w:szCs w:val="24"/>
        </w:rPr>
        <w:t xml:space="preserve">ujęto w pozycjach 2.1.2 i 2.1.2.1 (jako już nie podlegające wyłączeniom, na podstawie art. 243 ust. 3a - za wyjątkiem odsetek od udzielonych poręczeń na wkład krajowy podlegających wyłączeniom). </w:t>
      </w:r>
    </w:p>
    <w:p w:rsidR="0044488D" w:rsidRPr="0044488D" w:rsidRDefault="0044488D" w:rsidP="004448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51C" w:rsidRDefault="0058551C"/>
    <w:sectPr w:rsidR="0058551C" w:rsidSect="005D73DB">
      <w:head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795" w:rsidRDefault="00B25795" w:rsidP="004D6301">
      <w:pPr>
        <w:spacing w:after="0" w:line="240" w:lineRule="auto"/>
      </w:pPr>
      <w:r>
        <w:separator/>
      </w:r>
    </w:p>
  </w:endnote>
  <w:endnote w:type="continuationSeparator" w:id="0">
    <w:p w:rsidR="00B25795" w:rsidRDefault="00B25795" w:rsidP="004D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795" w:rsidRDefault="00B25795" w:rsidP="004D6301">
      <w:pPr>
        <w:spacing w:after="0" w:line="240" w:lineRule="auto"/>
      </w:pPr>
      <w:r>
        <w:separator/>
      </w:r>
    </w:p>
  </w:footnote>
  <w:footnote w:type="continuationSeparator" w:id="0">
    <w:p w:rsidR="00B25795" w:rsidRDefault="00B25795" w:rsidP="004D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3DB" w:rsidRDefault="004D6301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jc w:val="center"/>
    </w:pPr>
    <w:r>
      <w:fldChar w:fldCharType="begin"/>
    </w:r>
    <w:r w:rsidR="0044488D">
      <w:instrText xml:space="preserve"> PAGE \* Arabic </w:instrText>
    </w:r>
    <w:r>
      <w:fldChar w:fldCharType="separate"/>
    </w:r>
    <w:r w:rsidR="00EF015A">
      <w:rPr>
        <w:noProof/>
      </w:rPr>
      <w:t>4</w:t>
    </w:r>
    <w:r>
      <w:fldChar w:fldCharType="end"/>
    </w:r>
  </w:p>
  <w:p w:rsidR="005D73DB" w:rsidRDefault="00B25795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88D"/>
    <w:rsid w:val="0044488D"/>
    <w:rsid w:val="004952F1"/>
    <w:rsid w:val="004D6301"/>
    <w:rsid w:val="0058551C"/>
    <w:rsid w:val="007819C6"/>
    <w:rsid w:val="007925CC"/>
    <w:rsid w:val="00B25795"/>
    <w:rsid w:val="00EF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488D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44488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1298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2021-07-05T07:07:00Z</dcterms:created>
  <dcterms:modified xsi:type="dcterms:W3CDTF">2021-07-05T07:15:00Z</dcterms:modified>
</cp:coreProperties>
</file>